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94" w:rsidRDefault="004F1C9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央企扶贫基金</w:t>
      </w:r>
      <w:proofErr w:type="gramEnd"/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2017年</w:t>
      </w:r>
      <w:r w:rsidR="00F43DCE">
        <w:rPr>
          <w:rFonts w:asciiTheme="majorEastAsia" w:eastAsiaTheme="majorEastAsia" w:hAnsiTheme="majorEastAsia" w:hint="eastAsia"/>
          <w:b/>
          <w:sz w:val="44"/>
          <w:szCs w:val="44"/>
        </w:rPr>
        <w:t>3月份</w:t>
      </w:r>
    </w:p>
    <w:p w:rsidR="00722047" w:rsidRPr="003C682F" w:rsidRDefault="003C682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E444B6">
        <w:rPr>
          <w:rFonts w:ascii="仿宋" w:eastAsia="仿宋" w:hAnsi="仿宋" w:hint="eastAsia"/>
          <w:sz w:val="32"/>
          <w:szCs w:val="32"/>
        </w:rPr>
        <w:t>3月底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EC4F25">
        <w:rPr>
          <w:rFonts w:ascii="仿宋" w:eastAsia="仿宋" w:hAnsi="仿宋" w:hint="eastAsia"/>
          <w:sz w:val="32"/>
          <w:szCs w:val="32"/>
        </w:rPr>
        <w:t>1,</w:t>
      </w:r>
      <w:r>
        <w:rPr>
          <w:rFonts w:ascii="仿宋" w:eastAsia="仿宋" w:hAnsi="仿宋" w:hint="eastAsia"/>
          <w:sz w:val="32"/>
          <w:szCs w:val="32"/>
        </w:rPr>
        <w:t>219</w:t>
      </w:r>
      <w:r w:rsidR="00EC4F25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003.74</w:t>
      </w:r>
      <w:r w:rsidR="00EC4F25" w:rsidRPr="004A1A67">
        <w:rPr>
          <w:rFonts w:ascii="仿宋" w:eastAsia="仿宋" w:hAnsi="仿宋"/>
          <w:sz w:val="32"/>
          <w:szCs w:val="32"/>
        </w:rPr>
        <w:t>万元，所有者权益总额</w:t>
      </w:r>
      <w:r>
        <w:rPr>
          <w:rFonts w:ascii="仿宋" w:eastAsia="仿宋" w:hAnsi="仿宋" w:hint="eastAsia"/>
          <w:sz w:val="32"/>
          <w:szCs w:val="32"/>
        </w:rPr>
        <w:t>1,219,003.74</w:t>
      </w:r>
      <w:r w:rsidR="00EC4F25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EC4F25" w:rsidRPr="004A1A67" w:rsidRDefault="00927A13" w:rsidP="00EC4F25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</w:t>
      </w:r>
      <w:r w:rsidR="00E444B6">
        <w:rPr>
          <w:rFonts w:ascii="仿宋" w:eastAsia="仿宋" w:hAnsi="仿宋" w:hint="eastAsia"/>
          <w:sz w:val="32"/>
          <w:szCs w:val="32"/>
        </w:rPr>
        <w:t>3月底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>
        <w:rPr>
          <w:rFonts w:ascii="仿宋" w:eastAsia="仿宋" w:hAnsi="仿宋" w:hint="eastAsia"/>
          <w:sz w:val="32"/>
          <w:szCs w:val="32"/>
        </w:rPr>
        <w:t>1,219,003.74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="00EC4F25" w:rsidRPr="004A1A67">
        <w:rPr>
          <w:rFonts w:ascii="仿宋" w:eastAsia="仿宋" w:hAnsi="仿宋" w:hint="eastAsia"/>
          <w:sz w:val="32"/>
          <w:szCs w:val="32"/>
        </w:rPr>
        <w:t>其中流动资产</w:t>
      </w:r>
      <w:r w:rsidR="000532BC">
        <w:rPr>
          <w:rFonts w:ascii="仿宋" w:eastAsia="仿宋" w:hAnsi="仿宋" w:hint="eastAsia"/>
          <w:sz w:val="32"/>
          <w:szCs w:val="32"/>
        </w:rPr>
        <w:t>1,145,498.69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525863">
        <w:rPr>
          <w:rFonts w:ascii="仿宋" w:eastAsia="仿宋" w:hAnsi="仿宋" w:hint="eastAsia"/>
          <w:sz w:val="32"/>
          <w:szCs w:val="32"/>
        </w:rPr>
        <w:t>9</w:t>
      </w:r>
      <w:r w:rsidR="00B61BCD">
        <w:rPr>
          <w:rFonts w:ascii="仿宋" w:eastAsia="仿宋" w:hAnsi="仿宋" w:hint="eastAsia"/>
          <w:sz w:val="32"/>
          <w:szCs w:val="32"/>
        </w:rPr>
        <w:t>3.97</w:t>
      </w:r>
      <w:r w:rsidR="00EC4F25" w:rsidRPr="004A1A67">
        <w:rPr>
          <w:rFonts w:ascii="仿宋" w:eastAsia="仿宋" w:hAnsi="仿宋" w:hint="eastAsia"/>
          <w:sz w:val="32"/>
          <w:szCs w:val="32"/>
        </w:rPr>
        <w:t>%，</w:t>
      </w:r>
      <w:r w:rsidR="00EC4F25" w:rsidRPr="004A1A67">
        <w:rPr>
          <w:rFonts w:ascii="仿宋" w:eastAsia="仿宋" w:hAnsi="仿宋"/>
          <w:sz w:val="32"/>
          <w:szCs w:val="32"/>
        </w:rPr>
        <w:t>主要为</w:t>
      </w:r>
      <w:r w:rsidR="00525863">
        <w:rPr>
          <w:rFonts w:ascii="仿宋" w:eastAsia="仿宋" w:hAnsi="仿宋" w:hint="eastAsia"/>
          <w:sz w:val="32"/>
          <w:szCs w:val="32"/>
        </w:rPr>
        <w:t>货币资金、</w:t>
      </w:r>
      <w:r w:rsidR="00EC4F25" w:rsidRPr="004A1A67">
        <w:rPr>
          <w:rFonts w:ascii="仿宋" w:eastAsia="仿宋" w:hAnsi="仿宋"/>
          <w:sz w:val="32"/>
          <w:szCs w:val="32"/>
        </w:rPr>
        <w:t>其他应收款</w:t>
      </w:r>
      <w:r w:rsidR="00525863">
        <w:rPr>
          <w:rFonts w:ascii="仿宋" w:eastAsia="仿宋" w:hAnsi="仿宋" w:hint="eastAsia"/>
          <w:sz w:val="32"/>
          <w:szCs w:val="32"/>
        </w:rPr>
        <w:t>和其他流动资产</w:t>
      </w:r>
      <w:r w:rsidR="00EC4F25"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525863">
        <w:rPr>
          <w:rFonts w:ascii="仿宋" w:eastAsia="仿宋" w:hAnsi="仿宋" w:hint="eastAsia"/>
          <w:sz w:val="32"/>
          <w:szCs w:val="32"/>
        </w:rPr>
        <w:t>73,505.05</w:t>
      </w:r>
      <w:r w:rsidR="00EC4F25"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B61BCD">
        <w:rPr>
          <w:rFonts w:ascii="仿宋" w:eastAsia="仿宋" w:hAnsi="仿宋" w:hint="eastAsia"/>
          <w:sz w:val="32"/>
          <w:szCs w:val="32"/>
        </w:rPr>
        <w:t>6.03</w:t>
      </w:r>
      <w:r w:rsidR="00EC4F25" w:rsidRPr="004A1A67">
        <w:rPr>
          <w:rFonts w:ascii="仿宋" w:eastAsia="仿宋" w:hAnsi="仿宋" w:hint="eastAsia"/>
          <w:sz w:val="32"/>
          <w:szCs w:val="32"/>
        </w:rPr>
        <w:t>%，主要为</w:t>
      </w:r>
      <w:r w:rsidR="00B61BCD">
        <w:rPr>
          <w:rFonts w:ascii="仿宋" w:eastAsia="仿宋" w:hAnsi="仿宋" w:hint="eastAsia"/>
          <w:sz w:val="32"/>
          <w:szCs w:val="32"/>
        </w:rPr>
        <w:t>可供出售金融资产和长期股权投资</w:t>
      </w:r>
      <w:r w:rsidR="00EC4F25" w:rsidRPr="004A1A67">
        <w:rPr>
          <w:rFonts w:ascii="仿宋" w:eastAsia="仿宋" w:hAnsi="仿宋" w:hint="eastAsia"/>
          <w:sz w:val="32"/>
          <w:szCs w:val="32"/>
        </w:rPr>
        <w:t>。</w:t>
      </w:r>
    </w:p>
    <w:p w:rsidR="00EC4F25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C4F25" w:rsidRPr="004A1A67">
        <w:rPr>
          <w:rFonts w:ascii="仿宋" w:eastAsia="仿宋" w:hAnsi="仿宋" w:hint="eastAsia"/>
          <w:sz w:val="32"/>
          <w:szCs w:val="32"/>
        </w:rPr>
        <w:t>货币资金：</w:t>
      </w:r>
      <w:r w:rsidR="00EC4F25" w:rsidRPr="004A1A67">
        <w:rPr>
          <w:rFonts w:ascii="仿宋" w:eastAsia="仿宋" w:hAnsi="仿宋"/>
          <w:sz w:val="32"/>
          <w:szCs w:val="32"/>
        </w:rPr>
        <w:t>货币资金余额</w:t>
      </w:r>
      <w:r w:rsidR="005242FD">
        <w:rPr>
          <w:rFonts w:ascii="仿宋" w:eastAsia="仿宋" w:hAnsi="仿宋" w:hint="eastAsia"/>
          <w:sz w:val="32"/>
          <w:szCs w:val="32"/>
        </w:rPr>
        <w:t>35,557.79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CD4A55">
        <w:rPr>
          <w:rFonts w:ascii="仿宋" w:eastAsia="仿宋" w:hAnsi="仿宋" w:hint="eastAsia"/>
          <w:sz w:val="32"/>
          <w:szCs w:val="32"/>
        </w:rPr>
        <w:t>2.92</w:t>
      </w:r>
      <w:r w:rsidR="00EC4F25" w:rsidRPr="004A1A67">
        <w:rPr>
          <w:rFonts w:ascii="仿宋" w:eastAsia="仿宋" w:hAnsi="仿宋"/>
          <w:sz w:val="32"/>
          <w:szCs w:val="32"/>
        </w:rPr>
        <w:t>%</w:t>
      </w:r>
      <w:r w:rsidR="004A1D48">
        <w:rPr>
          <w:rFonts w:ascii="仿宋" w:eastAsia="仿宋" w:hAnsi="仿宋" w:hint="eastAsia"/>
          <w:sz w:val="32"/>
          <w:szCs w:val="32"/>
        </w:rPr>
        <w:t>,其中：</w:t>
      </w:r>
    </w:p>
    <w:p w:rsidR="004A1D48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8D2EEB">
        <w:rPr>
          <w:rFonts w:ascii="仿宋" w:eastAsia="仿宋" w:hAnsi="仿宋" w:hint="eastAsia"/>
          <w:sz w:val="32"/>
          <w:szCs w:val="32"/>
        </w:rPr>
        <w:t>兴业银行：1</w:t>
      </w:r>
      <w:r w:rsidR="00E0364D">
        <w:rPr>
          <w:rFonts w:ascii="仿宋" w:eastAsia="仿宋" w:hAnsi="仿宋" w:hint="eastAsia"/>
          <w:sz w:val="32"/>
          <w:szCs w:val="32"/>
        </w:rPr>
        <w:t>,</w:t>
      </w:r>
      <w:r w:rsidR="008D2EEB">
        <w:rPr>
          <w:rFonts w:ascii="仿宋" w:eastAsia="仿宋" w:hAnsi="仿宋" w:hint="eastAsia"/>
          <w:sz w:val="32"/>
          <w:szCs w:val="32"/>
        </w:rPr>
        <w:t>414.69万元；</w:t>
      </w:r>
    </w:p>
    <w:p w:rsidR="008D2EEB" w:rsidRPr="004A1D48" w:rsidRDefault="005C598F" w:rsidP="005C0996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C502A1">
        <w:rPr>
          <w:rFonts w:ascii="仿宋" w:eastAsia="仿宋" w:hAnsi="仿宋" w:hint="eastAsia"/>
          <w:sz w:val="32"/>
          <w:szCs w:val="32"/>
        </w:rPr>
        <w:t>中国</w:t>
      </w:r>
      <w:r w:rsidR="008D2EEB">
        <w:rPr>
          <w:rFonts w:ascii="仿宋" w:eastAsia="仿宋" w:hAnsi="仿宋" w:hint="eastAsia"/>
          <w:sz w:val="32"/>
          <w:szCs w:val="32"/>
        </w:rPr>
        <w:t>农业银行：34,143.10万元。</w:t>
      </w:r>
    </w:p>
    <w:p w:rsidR="003C130D" w:rsidRDefault="005C598F" w:rsidP="005C598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EC4F25" w:rsidRPr="004A1A67">
        <w:rPr>
          <w:rFonts w:ascii="仿宋" w:eastAsia="仿宋" w:hAnsi="仿宋"/>
          <w:sz w:val="32"/>
          <w:szCs w:val="32"/>
        </w:rPr>
        <w:t>其他</w:t>
      </w:r>
      <w:r w:rsidR="00EC4F25" w:rsidRPr="004A1A67">
        <w:rPr>
          <w:rFonts w:ascii="仿宋" w:eastAsia="仿宋" w:hAnsi="仿宋" w:hint="eastAsia"/>
          <w:sz w:val="32"/>
          <w:szCs w:val="32"/>
        </w:rPr>
        <w:t>应收款</w:t>
      </w:r>
      <w:r w:rsidR="009C5AC2">
        <w:rPr>
          <w:rFonts w:ascii="仿宋" w:eastAsia="仿宋" w:hAnsi="仿宋" w:hint="eastAsia"/>
          <w:sz w:val="32"/>
          <w:szCs w:val="32"/>
        </w:rPr>
        <w:t>：</w:t>
      </w:r>
      <w:r w:rsidR="009C5AC2" w:rsidRPr="004A1A67">
        <w:rPr>
          <w:rFonts w:ascii="仿宋" w:eastAsia="仿宋" w:hAnsi="仿宋"/>
          <w:sz w:val="32"/>
          <w:szCs w:val="32"/>
        </w:rPr>
        <w:t>其他</w:t>
      </w:r>
      <w:r w:rsidR="009C5AC2" w:rsidRPr="004A1A67">
        <w:rPr>
          <w:rFonts w:ascii="仿宋" w:eastAsia="仿宋" w:hAnsi="仿宋" w:hint="eastAsia"/>
          <w:sz w:val="32"/>
          <w:szCs w:val="32"/>
        </w:rPr>
        <w:t>应收款</w:t>
      </w:r>
      <w:r w:rsidR="009C5AC2">
        <w:rPr>
          <w:rFonts w:ascii="仿宋" w:eastAsia="仿宋" w:hAnsi="仿宋" w:hint="eastAsia"/>
          <w:sz w:val="32"/>
          <w:szCs w:val="32"/>
        </w:rPr>
        <w:t>余额1</w:t>
      </w:r>
      <w:r w:rsidR="000A77AB">
        <w:rPr>
          <w:rFonts w:ascii="仿宋" w:eastAsia="仿宋" w:hAnsi="仿宋" w:hint="eastAsia"/>
          <w:sz w:val="32"/>
          <w:szCs w:val="32"/>
        </w:rPr>
        <w:t>,</w:t>
      </w:r>
      <w:r w:rsidR="009C5AC2">
        <w:rPr>
          <w:rFonts w:ascii="仿宋" w:eastAsia="仿宋" w:hAnsi="仿宋" w:hint="eastAsia"/>
          <w:sz w:val="32"/>
          <w:szCs w:val="32"/>
        </w:rPr>
        <w:t>109</w:t>
      </w:r>
      <w:r w:rsidR="000A77AB">
        <w:rPr>
          <w:rFonts w:ascii="仿宋" w:eastAsia="仿宋" w:hAnsi="仿宋" w:hint="eastAsia"/>
          <w:sz w:val="32"/>
          <w:szCs w:val="32"/>
        </w:rPr>
        <w:t>,</w:t>
      </w:r>
      <w:r w:rsidR="009C5AC2">
        <w:rPr>
          <w:rFonts w:ascii="仿宋" w:eastAsia="仿宋" w:hAnsi="仿宋" w:hint="eastAsia"/>
          <w:sz w:val="32"/>
          <w:szCs w:val="32"/>
        </w:rPr>
        <w:t>9</w:t>
      </w:r>
      <w:r w:rsidR="0091481F">
        <w:rPr>
          <w:rFonts w:ascii="仿宋" w:eastAsia="仿宋" w:hAnsi="仿宋" w:hint="eastAsia"/>
          <w:sz w:val="32"/>
          <w:szCs w:val="32"/>
        </w:rPr>
        <w:t>0</w:t>
      </w:r>
      <w:r w:rsidR="000A77AB">
        <w:rPr>
          <w:rFonts w:ascii="仿宋" w:eastAsia="仿宋" w:hAnsi="仿宋" w:hint="eastAsia"/>
          <w:sz w:val="32"/>
          <w:szCs w:val="32"/>
        </w:rPr>
        <w:t>0</w:t>
      </w:r>
      <w:r w:rsidR="009C5AC2">
        <w:rPr>
          <w:rFonts w:ascii="仿宋" w:eastAsia="仿宋" w:hAnsi="仿宋" w:hint="eastAsia"/>
          <w:sz w:val="32"/>
          <w:szCs w:val="32"/>
        </w:rPr>
        <w:t>.00万元</w:t>
      </w:r>
      <w:r w:rsidR="00C502A1">
        <w:rPr>
          <w:rFonts w:ascii="仿宋" w:eastAsia="仿宋" w:hAnsi="仿宋" w:hint="eastAsia"/>
          <w:sz w:val="32"/>
          <w:szCs w:val="32"/>
        </w:rPr>
        <w:t>，为在中国农业银行和中国银行购买的保本型</w:t>
      </w:r>
      <w:r w:rsidR="009730CF">
        <w:rPr>
          <w:rFonts w:ascii="仿宋" w:eastAsia="仿宋" w:hAnsi="仿宋" w:hint="eastAsia"/>
          <w:sz w:val="32"/>
          <w:szCs w:val="32"/>
        </w:rPr>
        <w:t>结构性存款。</w:t>
      </w:r>
      <w:r w:rsidR="009818C4">
        <w:rPr>
          <w:rFonts w:ascii="仿宋" w:eastAsia="仿宋" w:hAnsi="仿宋" w:hint="eastAsia"/>
          <w:sz w:val="32"/>
          <w:szCs w:val="32"/>
        </w:rPr>
        <w:t>明细</w:t>
      </w:r>
      <w:r w:rsidR="00AD7429">
        <w:rPr>
          <w:rFonts w:ascii="仿宋" w:eastAsia="仿宋" w:hAnsi="仿宋" w:hint="eastAsia"/>
          <w:sz w:val="32"/>
          <w:szCs w:val="32"/>
        </w:rPr>
        <w:t>如下</w:t>
      </w:r>
      <w:r w:rsidR="009818C4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426" w:type="dxa"/>
        <w:tblInd w:w="96" w:type="dxa"/>
        <w:tblLook w:val="04A0"/>
      </w:tblPr>
      <w:tblGrid>
        <w:gridCol w:w="774"/>
        <w:gridCol w:w="1163"/>
        <w:gridCol w:w="1750"/>
        <w:gridCol w:w="1203"/>
        <w:gridCol w:w="927"/>
        <w:gridCol w:w="1256"/>
        <w:gridCol w:w="1353"/>
      </w:tblGrid>
      <w:tr w:rsidR="006206EF" w:rsidRPr="00F570C0" w:rsidTr="004172B6">
        <w:trPr>
          <w:trHeight w:val="1125"/>
          <w:tblHeader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中标银行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投资期限（天）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利率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存放日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190,000.00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230,000.00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180,000.00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3.86%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2017-6-20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100,000.00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3.81%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2017-1-23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2017-12-14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92,000.00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3.91%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2017-2-28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2017-4-25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 xml:space="preserve">117,900.00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4.1%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2017-3-21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color w:val="000000"/>
                <w:kern w:val="0"/>
                <w:szCs w:val="21"/>
              </w:rPr>
              <w:t>2017-5-23</w:t>
            </w:r>
          </w:p>
        </w:tc>
      </w:tr>
      <w:tr w:rsidR="006206EF" w:rsidRPr="00F570C0" w:rsidTr="0056276B">
        <w:trPr>
          <w:trHeight w:val="37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F570C0" w:rsidRDefault="006206EF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6206EF" w:rsidRDefault="006206EF" w:rsidP="0056276B">
            <w:pPr>
              <w:widowControl/>
              <w:jc w:val="center"/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</w:pPr>
            <w:r w:rsidRPr="006206EF">
              <w:rPr>
                <w:rFonts w:eastAsia="仿宋_GB2312" w:cs="宋体"/>
                <w:b/>
                <w:bCs/>
                <w:color w:val="000000"/>
                <w:kern w:val="0"/>
                <w:szCs w:val="21"/>
              </w:rPr>
              <w:t xml:space="preserve">1,109,900.00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F570C0" w:rsidRDefault="006206EF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F570C0" w:rsidRDefault="006206EF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F570C0" w:rsidRDefault="006206EF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EF" w:rsidRPr="00F570C0" w:rsidRDefault="006206EF" w:rsidP="0056276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570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4F25" w:rsidRDefault="0093144F" w:rsidP="00D974F3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C4A52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：</w:t>
      </w:r>
      <w:r w:rsidR="00D974F3">
        <w:rPr>
          <w:rFonts w:ascii="仿宋" w:eastAsia="仿宋" w:hAnsi="仿宋" w:hint="eastAsia"/>
          <w:sz w:val="32"/>
          <w:szCs w:val="32"/>
        </w:rPr>
        <w:t>可供出售金融资产</w:t>
      </w:r>
      <w:r w:rsidR="00EC4F25" w:rsidRPr="004A1A67">
        <w:rPr>
          <w:rFonts w:ascii="仿宋" w:eastAsia="仿宋" w:hAnsi="仿宋"/>
          <w:sz w:val="32"/>
          <w:szCs w:val="32"/>
        </w:rPr>
        <w:t>余额为</w:t>
      </w:r>
      <w:r w:rsidR="00F93BAD">
        <w:rPr>
          <w:rFonts w:ascii="仿宋" w:eastAsia="仿宋" w:hAnsi="仿宋" w:hint="eastAsia"/>
          <w:sz w:val="32"/>
          <w:szCs w:val="32"/>
        </w:rPr>
        <w:t>60,000.00</w:t>
      </w:r>
      <w:r w:rsidR="00EC4F25" w:rsidRPr="004A1A67">
        <w:rPr>
          <w:rFonts w:ascii="仿宋" w:eastAsia="仿宋" w:hAnsi="仿宋"/>
          <w:sz w:val="32"/>
          <w:szCs w:val="32"/>
        </w:rPr>
        <w:t>万元，占资产总额的</w:t>
      </w:r>
      <w:r w:rsidR="00F93BAD">
        <w:rPr>
          <w:rFonts w:ascii="仿宋" w:eastAsia="仿宋" w:hAnsi="仿宋" w:hint="eastAsia"/>
          <w:sz w:val="32"/>
          <w:szCs w:val="32"/>
        </w:rPr>
        <w:t>4.92</w:t>
      </w:r>
      <w:r w:rsidR="00EC4F25" w:rsidRPr="004A1A67">
        <w:rPr>
          <w:rFonts w:ascii="仿宋" w:eastAsia="仿宋" w:hAnsi="仿宋" w:hint="eastAsia"/>
          <w:sz w:val="32"/>
          <w:szCs w:val="32"/>
        </w:rPr>
        <w:t>%</w:t>
      </w:r>
      <w:r w:rsidR="00EC4F25" w:rsidRPr="004A1A67">
        <w:rPr>
          <w:rFonts w:ascii="仿宋" w:eastAsia="仿宋" w:hAnsi="仿宋"/>
          <w:sz w:val="32"/>
          <w:szCs w:val="32"/>
        </w:rPr>
        <w:t>，</w:t>
      </w:r>
      <w:r w:rsidR="00F93BAD">
        <w:rPr>
          <w:rFonts w:ascii="仿宋" w:eastAsia="仿宋" w:hAnsi="仿宋" w:hint="eastAsia"/>
          <w:sz w:val="32"/>
          <w:szCs w:val="32"/>
        </w:rPr>
        <w:t>为公司设立</w:t>
      </w:r>
      <w:proofErr w:type="gramStart"/>
      <w:r w:rsidR="00F93BAD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F93BAD">
        <w:rPr>
          <w:rFonts w:ascii="仿宋" w:eastAsia="仿宋" w:hAnsi="仿宋" w:hint="eastAsia"/>
          <w:sz w:val="32"/>
          <w:szCs w:val="32"/>
        </w:rPr>
        <w:t>的投资</w:t>
      </w:r>
      <w:r w:rsidR="00D877D0">
        <w:rPr>
          <w:rFonts w:ascii="仿宋" w:eastAsia="仿宋" w:hAnsi="仿宋" w:hint="eastAsia"/>
          <w:sz w:val="32"/>
          <w:szCs w:val="32"/>
        </w:rPr>
        <w:t>款</w:t>
      </w:r>
      <w:r w:rsidR="00273509">
        <w:rPr>
          <w:rFonts w:ascii="仿宋" w:eastAsia="仿宋" w:hAnsi="仿宋" w:hint="eastAsia"/>
          <w:sz w:val="32"/>
          <w:szCs w:val="32"/>
        </w:rPr>
        <w:t>，明细如下：</w:t>
      </w: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5257"/>
        <w:gridCol w:w="2448"/>
      </w:tblGrid>
      <w:tr w:rsidR="00F72FB3" w:rsidTr="00F72FB3">
        <w:tc>
          <w:tcPr>
            <w:tcW w:w="709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57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48" w:type="dxa"/>
            <w:vAlign w:val="center"/>
          </w:tcPr>
          <w:p w:rsidR="00F72FB3" w:rsidRPr="007A3D13" w:rsidRDefault="0093144F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投资</w:t>
            </w:r>
            <w:r w:rsidR="00F72FB3"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金额</w:t>
            </w:r>
            <w:r w:rsidR="00F72FB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F72FB3" w:rsidTr="00F72FB3">
        <w:tc>
          <w:tcPr>
            <w:tcW w:w="709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7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2448" w:type="dxa"/>
            <w:vAlign w:val="center"/>
          </w:tcPr>
          <w:p w:rsidR="00F72FB3" w:rsidRPr="007A3D13" w:rsidRDefault="00F72FB3" w:rsidP="00F72FB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</w:tr>
      <w:tr w:rsidR="00F72FB3" w:rsidTr="00F72FB3">
        <w:tc>
          <w:tcPr>
            <w:tcW w:w="709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7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2448" w:type="dxa"/>
            <w:vAlign w:val="center"/>
          </w:tcPr>
          <w:p w:rsidR="00F72FB3" w:rsidRPr="007A3D13" w:rsidRDefault="00F72FB3" w:rsidP="00F72FB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40,000.00</w:t>
            </w:r>
          </w:p>
        </w:tc>
      </w:tr>
      <w:tr w:rsidR="00F72FB3" w:rsidTr="00F72FB3">
        <w:tc>
          <w:tcPr>
            <w:tcW w:w="709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257" w:type="dxa"/>
            <w:vAlign w:val="center"/>
          </w:tcPr>
          <w:p w:rsidR="00F72FB3" w:rsidRPr="007A3D13" w:rsidRDefault="00F72FB3" w:rsidP="00F72F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F72FB3" w:rsidRPr="007A3D13" w:rsidRDefault="00F72FB3" w:rsidP="00F72FB3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60,000.00</w:t>
            </w:r>
          </w:p>
        </w:tc>
      </w:tr>
    </w:tbl>
    <w:p w:rsidR="00B312EC" w:rsidRDefault="0093144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B312EC">
        <w:rPr>
          <w:rFonts w:ascii="仿宋" w:eastAsia="仿宋" w:hAnsi="仿宋" w:hint="eastAsia"/>
          <w:sz w:val="32"/>
          <w:szCs w:val="32"/>
        </w:rPr>
        <w:t>长期股权投资：长期股权投资余额为</w:t>
      </w:r>
      <w:r w:rsidR="008C1735">
        <w:rPr>
          <w:rFonts w:ascii="仿宋" w:eastAsia="仿宋" w:hAnsi="仿宋" w:hint="eastAsia"/>
          <w:sz w:val="32"/>
          <w:szCs w:val="32"/>
        </w:rPr>
        <w:t>13,505.05</w:t>
      </w:r>
      <w:r w:rsidR="00B312EC">
        <w:rPr>
          <w:rFonts w:ascii="仿宋" w:eastAsia="仿宋" w:hAnsi="仿宋" w:hint="eastAsia"/>
          <w:sz w:val="32"/>
          <w:szCs w:val="32"/>
        </w:rPr>
        <w:t>万元,</w:t>
      </w:r>
      <w:r w:rsidR="009257BA" w:rsidRPr="009257BA">
        <w:rPr>
          <w:rFonts w:ascii="仿宋" w:eastAsia="仿宋" w:hAnsi="仿宋"/>
          <w:sz w:val="32"/>
          <w:szCs w:val="32"/>
        </w:rPr>
        <w:t xml:space="preserve"> </w:t>
      </w:r>
      <w:r w:rsidR="009257BA" w:rsidRPr="004A1A67">
        <w:rPr>
          <w:rFonts w:ascii="仿宋" w:eastAsia="仿宋" w:hAnsi="仿宋"/>
          <w:sz w:val="32"/>
          <w:szCs w:val="32"/>
        </w:rPr>
        <w:t>占资产总额的</w:t>
      </w:r>
      <w:r w:rsidR="00DD0D5C">
        <w:rPr>
          <w:rFonts w:ascii="仿宋" w:eastAsia="仿宋" w:hAnsi="仿宋" w:hint="eastAsia"/>
          <w:sz w:val="32"/>
          <w:szCs w:val="32"/>
        </w:rPr>
        <w:t>1.11</w:t>
      </w:r>
      <w:r w:rsidR="009257BA" w:rsidRPr="004A1A67">
        <w:rPr>
          <w:rFonts w:ascii="仿宋" w:eastAsia="仿宋" w:hAnsi="仿宋" w:hint="eastAsia"/>
          <w:sz w:val="32"/>
          <w:szCs w:val="32"/>
        </w:rPr>
        <w:t>%</w:t>
      </w:r>
      <w:r w:rsidR="009257BA">
        <w:rPr>
          <w:rFonts w:ascii="仿宋" w:eastAsia="仿宋" w:hAnsi="仿宋" w:hint="eastAsia"/>
          <w:sz w:val="32"/>
          <w:szCs w:val="32"/>
        </w:rPr>
        <w:t>，</w:t>
      </w:r>
      <w:r w:rsidR="00B312EC">
        <w:rPr>
          <w:rFonts w:ascii="仿宋" w:eastAsia="仿宋" w:hAnsi="仿宋" w:hint="eastAsia"/>
          <w:sz w:val="32"/>
          <w:szCs w:val="32"/>
        </w:rPr>
        <w:t>为公司股权投资</w:t>
      </w:r>
      <w:r w:rsidR="009831DC">
        <w:rPr>
          <w:rFonts w:ascii="仿宋" w:eastAsia="仿宋" w:hAnsi="仿宋" w:hint="eastAsia"/>
          <w:sz w:val="32"/>
          <w:szCs w:val="32"/>
        </w:rPr>
        <w:t>项目的投资</w:t>
      </w:r>
      <w:r w:rsidR="00D877D0">
        <w:rPr>
          <w:rFonts w:ascii="仿宋" w:eastAsia="仿宋" w:hAnsi="仿宋" w:hint="eastAsia"/>
          <w:sz w:val="32"/>
          <w:szCs w:val="32"/>
        </w:rPr>
        <w:t>款</w:t>
      </w:r>
      <w:r w:rsidR="00CD4671">
        <w:rPr>
          <w:rFonts w:ascii="仿宋" w:eastAsia="仿宋" w:hAnsi="仿宋" w:hint="eastAsia"/>
          <w:sz w:val="32"/>
          <w:szCs w:val="32"/>
        </w:rPr>
        <w:t>，明细如下：</w:t>
      </w: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5257"/>
        <w:gridCol w:w="2448"/>
      </w:tblGrid>
      <w:tr w:rsidR="00E66789" w:rsidRPr="007A3D13" w:rsidTr="00AD0CEF">
        <w:tc>
          <w:tcPr>
            <w:tcW w:w="709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57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448" w:type="dxa"/>
            <w:vAlign w:val="center"/>
          </w:tcPr>
          <w:p w:rsidR="00E66789" w:rsidRPr="007A3D13" w:rsidRDefault="0093144F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投资</w:t>
            </w:r>
            <w:r w:rsidR="00E66789"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金额</w:t>
            </w:r>
            <w:r w:rsidR="00E6678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E66789" w:rsidRPr="007A3D13" w:rsidTr="00AD0CEF">
        <w:tc>
          <w:tcPr>
            <w:tcW w:w="709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7" w:type="dxa"/>
            <w:vAlign w:val="center"/>
          </w:tcPr>
          <w:p w:rsidR="00E66789" w:rsidRPr="000E2D87" w:rsidRDefault="000E2D87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D0C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贵州贵天下茶业有限责任公司</w:t>
            </w:r>
          </w:p>
        </w:tc>
        <w:tc>
          <w:tcPr>
            <w:tcW w:w="2448" w:type="dxa"/>
            <w:vAlign w:val="center"/>
          </w:tcPr>
          <w:p w:rsidR="00E66789" w:rsidRPr="007A3D13" w:rsidRDefault="000E2D87" w:rsidP="00AD0CEF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6,000</w:t>
            </w:r>
            <w:r w:rsidR="00E6678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.00</w:t>
            </w:r>
          </w:p>
        </w:tc>
      </w:tr>
      <w:tr w:rsidR="00E66789" w:rsidRPr="007A3D13" w:rsidTr="00AD0CEF">
        <w:tc>
          <w:tcPr>
            <w:tcW w:w="709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7" w:type="dxa"/>
            <w:vAlign w:val="center"/>
          </w:tcPr>
          <w:p w:rsidR="00E66789" w:rsidRPr="000E2D87" w:rsidRDefault="000E2D87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D0C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2448" w:type="dxa"/>
            <w:vAlign w:val="center"/>
          </w:tcPr>
          <w:p w:rsidR="00E66789" w:rsidRPr="007A3D13" w:rsidRDefault="000E2D87" w:rsidP="00AD0CEF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7,500</w:t>
            </w:r>
            <w:r w:rsidR="00E6678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.00</w:t>
            </w:r>
          </w:p>
        </w:tc>
      </w:tr>
      <w:tr w:rsidR="00E66789" w:rsidRPr="007A3D13" w:rsidTr="00AD0CEF">
        <w:tc>
          <w:tcPr>
            <w:tcW w:w="709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257" w:type="dxa"/>
            <w:vAlign w:val="center"/>
          </w:tcPr>
          <w:p w:rsidR="00E66789" w:rsidRPr="007A3D13" w:rsidRDefault="00E66789" w:rsidP="00AD0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E66789" w:rsidRPr="007A3D13" w:rsidRDefault="000E2D87" w:rsidP="00AD0CEF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13,500.00</w:t>
            </w:r>
          </w:p>
        </w:tc>
      </w:tr>
    </w:tbl>
    <w:p w:rsidR="006E7EF9" w:rsidRDefault="00225812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:rsidR="00225812" w:rsidRPr="00671741" w:rsidRDefault="00671741" w:rsidP="00671741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25812" w:rsidRPr="00671741">
        <w:rPr>
          <w:rFonts w:ascii="仿宋" w:eastAsia="仿宋" w:hAnsi="仿宋" w:hint="eastAsia"/>
          <w:sz w:val="32"/>
          <w:szCs w:val="32"/>
        </w:rPr>
        <w:t>对贵州贵天下茶业有限责任公司</w:t>
      </w:r>
      <w:r w:rsidR="00653AE5" w:rsidRPr="00671741">
        <w:rPr>
          <w:rFonts w:ascii="仿宋" w:eastAsia="仿宋" w:hAnsi="仿宋" w:hint="eastAsia"/>
          <w:sz w:val="32"/>
          <w:szCs w:val="32"/>
        </w:rPr>
        <w:t>的股权投资采用权益法核算，</w:t>
      </w:r>
      <w:r w:rsidR="00ED274B">
        <w:rPr>
          <w:rFonts w:ascii="仿宋" w:eastAsia="仿宋" w:hAnsi="仿宋" w:hint="eastAsia"/>
          <w:sz w:val="32"/>
          <w:szCs w:val="32"/>
        </w:rPr>
        <w:t>根据</w:t>
      </w:r>
      <w:r w:rsidRPr="00671741">
        <w:rPr>
          <w:rFonts w:ascii="仿宋" w:eastAsia="仿宋" w:hAnsi="仿宋" w:hint="eastAsia"/>
          <w:sz w:val="32"/>
          <w:szCs w:val="32"/>
        </w:rPr>
        <w:t>该项目</w:t>
      </w:r>
      <w:r w:rsidR="00653AE5" w:rsidRPr="00671741">
        <w:rPr>
          <w:rFonts w:ascii="仿宋" w:eastAsia="仿宋" w:hAnsi="仿宋" w:hint="eastAsia"/>
          <w:sz w:val="32"/>
          <w:szCs w:val="32"/>
        </w:rPr>
        <w:t>2017年</w:t>
      </w:r>
      <w:r w:rsidR="00E444B6">
        <w:rPr>
          <w:rFonts w:ascii="仿宋" w:eastAsia="仿宋" w:hAnsi="仿宋" w:hint="eastAsia"/>
          <w:sz w:val="32"/>
          <w:szCs w:val="32"/>
        </w:rPr>
        <w:t>3月底</w:t>
      </w:r>
      <w:r w:rsidR="00D03794">
        <w:rPr>
          <w:rFonts w:ascii="仿宋" w:eastAsia="仿宋" w:hAnsi="仿宋" w:hint="eastAsia"/>
          <w:sz w:val="32"/>
          <w:szCs w:val="32"/>
        </w:rPr>
        <w:t>核算结果</w:t>
      </w:r>
      <w:proofErr w:type="gramStart"/>
      <w:r w:rsidR="00D03794">
        <w:rPr>
          <w:rFonts w:ascii="仿宋" w:eastAsia="仿宋" w:hAnsi="仿宋" w:hint="eastAsia"/>
          <w:sz w:val="32"/>
          <w:szCs w:val="32"/>
        </w:rPr>
        <w:t>调增</w:t>
      </w:r>
      <w:r w:rsidR="00653AE5" w:rsidRPr="00671741">
        <w:rPr>
          <w:rFonts w:ascii="仿宋" w:eastAsia="仿宋" w:hAnsi="仿宋" w:hint="eastAsia"/>
          <w:sz w:val="32"/>
          <w:szCs w:val="32"/>
        </w:rPr>
        <w:t>长</w:t>
      </w:r>
      <w:proofErr w:type="gramEnd"/>
      <w:r w:rsidR="00653AE5" w:rsidRPr="00671741">
        <w:rPr>
          <w:rFonts w:ascii="仿宋" w:eastAsia="仿宋" w:hAnsi="仿宋" w:hint="eastAsia"/>
          <w:sz w:val="32"/>
          <w:szCs w:val="32"/>
        </w:rPr>
        <w:t>期股权投资账面价值5.05万元。</w:t>
      </w:r>
    </w:p>
    <w:p w:rsidR="006E7EF9" w:rsidRPr="006E7EF9" w:rsidRDefault="00671741" w:rsidP="00671741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B74718">
        <w:rPr>
          <w:rFonts w:ascii="仿宋" w:eastAsia="仿宋" w:hAnsi="仿宋" w:hint="eastAsia"/>
          <w:sz w:val="32"/>
          <w:szCs w:val="32"/>
        </w:rPr>
        <w:t>由于</w:t>
      </w:r>
      <w:r w:rsidR="00DA0E57">
        <w:rPr>
          <w:rFonts w:ascii="仿宋" w:eastAsia="仿宋" w:hAnsi="仿宋" w:hint="eastAsia"/>
          <w:sz w:val="32"/>
          <w:szCs w:val="32"/>
        </w:rPr>
        <w:t>2017年3月28日</w:t>
      </w:r>
      <w:r w:rsidR="00582611">
        <w:rPr>
          <w:rFonts w:ascii="仿宋" w:eastAsia="仿宋" w:hAnsi="仿宋" w:hint="eastAsia"/>
          <w:sz w:val="32"/>
          <w:szCs w:val="32"/>
        </w:rPr>
        <w:t>才</w:t>
      </w:r>
      <w:r w:rsidR="00DA0E57">
        <w:rPr>
          <w:rFonts w:ascii="仿宋" w:eastAsia="仿宋" w:hAnsi="仿宋" w:hint="eastAsia"/>
          <w:sz w:val="32"/>
          <w:szCs w:val="32"/>
        </w:rPr>
        <w:t>完成对</w:t>
      </w:r>
      <w:r w:rsidR="00DA0E57" w:rsidRPr="00DA0E57">
        <w:rPr>
          <w:rFonts w:ascii="仿宋" w:eastAsia="仿宋" w:hAnsi="仿宋" w:hint="eastAsia"/>
          <w:sz w:val="32"/>
          <w:szCs w:val="32"/>
        </w:rPr>
        <w:t>贵州剑河园方林业</w:t>
      </w:r>
      <w:r w:rsidR="00DA0E57" w:rsidRPr="00DA0E57">
        <w:rPr>
          <w:rFonts w:ascii="仿宋" w:eastAsia="仿宋" w:hAnsi="仿宋" w:hint="eastAsia"/>
          <w:sz w:val="32"/>
          <w:szCs w:val="32"/>
        </w:rPr>
        <w:lastRenderedPageBreak/>
        <w:t>投资开发有限公司</w:t>
      </w:r>
      <w:r w:rsidR="00582611">
        <w:rPr>
          <w:rFonts w:ascii="仿宋" w:eastAsia="仿宋" w:hAnsi="仿宋" w:hint="eastAsia"/>
          <w:sz w:val="32"/>
          <w:szCs w:val="32"/>
        </w:rPr>
        <w:t>的投资</w:t>
      </w:r>
      <w:r w:rsidR="00DA0E57">
        <w:rPr>
          <w:rFonts w:ascii="仿宋" w:eastAsia="仿宋" w:hAnsi="仿宋" w:hint="eastAsia"/>
          <w:sz w:val="32"/>
          <w:szCs w:val="32"/>
        </w:rPr>
        <w:t>拨付，故在</w:t>
      </w:r>
      <w:r w:rsidR="00E444B6">
        <w:rPr>
          <w:rFonts w:ascii="仿宋" w:eastAsia="仿宋" w:hAnsi="仿宋" w:hint="eastAsia"/>
          <w:sz w:val="32"/>
          <w:szCs w:val="32"/>
        </w:rPr>
        <w:t>3月</w:t>
      </w:r>
      <w:r w:rsidR="00DA0E57">
        <w:rPr>
          <w:rFonts w:ascii="仿宋" w:eastAsia="仿宋" w:hAnsi="仿宋" w:hint="eastAsia"/>
          <w:sz w:val="32"/>
          <w:szCs w:val="32"/>
        </w:rPr>
        <w:t>报表中未反应</w:t>
      </w:r>
      <w:r w:rsidR="00582611">
        <w:rPr>
          <w:rFonts w:ascii="仿宋" w:eastAsia="仿宋" w:hAnsi="仿宋" w:hint="eastAsia"/>
          <w:sz w:val="32"/>
          <w:szCs w:val="32"/>
        </w:rPr>
        <w:t>其变化</w:t>
      </w:r>
      <w:r w:rsidR="00DA0E57">
        <w:rPr>
          <w:rFonts w:ascii="仿宋" w:eastAsia="仿宋" w:hAnsi="仿宋" w:hint="eastAsia"/>
          <w:sz w:val="32"/>
          <w:szCs w:val="32"/>
        </w:rPr>
        <w:t>。</w:t>
      </w:r>
    </w:p>
    <w:p w:rsidR="001237B6" w:rsidRDefault="00E26AC8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237B6">
        <w:rPr>
          <w:rFonts w:ascii="仿宋" w:eastAsia="仿宋" w:hAnsi="仿宋" w:hint="eastAsia"/>
          <w:sz w:val="32"/>
          <w:szCs w:val="32"/>
        </w:rPr>
        <w:t>其他流动资产：其他流动资产余额为</w:t>
      </w:r>
      <w:r w:rsidR="00342B7D">
        <w:rPr>
          <w:rFonts w:ascii="仿宋" w:eastAsia="仿宋" w:hAnsi="仿宋" w:hint="eastAsia"/>
          <w:sz w:val="32"/>
          <w:szCs w:val="32"/>
        </w:rPr>
        <w:t>40.90万元，</w:t>
      </w:r>
      <w:r w:rsidR="00A11634">
        <w:rPr>
          <w:rFonts w:ascii="仿宋" w:eastAsia="仿宋" w:hAnsi="仿宋" w:hint="eastAsia"/>
          <w:sz w:val="32"/>
          <w:szCs w:val="32"/>
        </w:rPr>
        <w:t>为</w:t>
      </w:r>
      <w:r w:rsidR="00714D97">
        <w:rPr>
          <w:rFonts w:ascii="仿宋" w:eastAsia="仿宋" w:hAnsi="仿宋" w:cs="Times New Roman" w:hint="eastAsia"/>
          <w:sz w:val="32"/>
          <w:szCs w:val="32"/>
        </w:rPr>
        <w:t>增值税进项留抵税额</w:t>
      </w:r>
      <w:r w:rsidR="00714D97">
        <w:rPr>
          <w:rFonts w:ascii="仿宋" w:eastAsia="仿宋" w:hAnsi="仿宋" w:hint="eastAsia"/>
          <w:sz w:val="32"/>
          <w:szCs w:val="32"/>
        </w:rPr>
        <w:t>。</w:t>
      </w:r>
    </w:p>
    <w:p w:rsidR="00520CDE" w:rsidRPr="004A1A67" w:rsidRDefault="00F34F95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A1A67">
        <w:rPr>
          <w:rFonts w:ascii="仿宋" w:eastAsia="仿宋" w:hAnsi="仿宋" w:hint="eastAsia"/>
          <w:sz w:val="32"/>
          <w:szCs w:val="32"/>
        </w:rPr>
        <w:t xml:space="preserve"> </w:t>
      </w:r>
      <w:r w:rsidR="00AD6E58"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0511B5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截至2017年3月底，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3D5AA4">
        <w:rPr>
          <w:rFonts w:ascii="仿宋" w:eastAsia="仿宋" w:hAnsi="仿宋" w:hint="eastAsia"/>
          <w:sz w:val="32"/>
          <w:szCs w:val="32"/>
        </w:rPr>
        <w:t>2,328.53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9779F9">
        <w:rPr>
          <w:rFonts w:ascii="仿宋" w:eastAsia="仿宋" w:hAnsi="仿宋" w:hint="eastAsia"/>
          <w:sz w:val="32"/>
          <w:szCs w:val="32"/>
        </w:rPr>
        <w:t>2,774.15</w:t>
      </w:r>
      <w:r w:rsidR="006B4AC8">
        <w:rPr>
          <w:rFonts w:ascii="仿宋" w:eastAsia="仿宋" w:hAnsi="仿宋" w:hint="eastAsia"/>
          <w:sz w:val="32"/>
          <w:szCs w:val="32"/>
        </w:rPr>
        <w:t>万元，管理费用</w:t>
      </w:r>
      <w:r w:rsidR="00FC7AC9">
        <w:rPr>
          <w:rFonts w:ascii="仿宋" w:eastAsia="仿宋" w:hAnsi="仿宋" w:hint="eastAsia"/>
          <w:sz w:val="32"/>
          <w:szCs w:val="32"/>
        </w:rPr>
        <w:t>1.06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A463A6">
        <w:rPr>
          <w:rFonts w:ascii="仿宋" w:eastAsia="仿宋" w:hAnsi="仿宋" w:hint="eastAsia"/>
          <w:sz w:val="32"/>
          <w:szCs w:val="32"/>
        </w:rPr>
        <w:t>-790.11万元，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C618FD">
        <w:rPr>
          <w:rFonts w:ascii="仿宋" w:eastAsia="仿宋" w:hAnsi="仿宋" w:hint="eastAsia"/>
          <w:sz w:val="32"/>
          <w:szCs w:val="32"/>
        </w:rPr>
        <w:t>343.44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C618FD">
        <w:rPr>
          <w:rFonts w:ascii="仿宋" w:eastAsia="仿宋" w:hAnsi="仿宋" w:hint="eastAsia"/>
          <w:sz w:val="32"/>
          <w:szCs w:val="32"/>
        </w:rPr>
        <w:t>343.44</w:t>
      </w:r>
      <w:r w:rsidR="00EE4070" w:rsidRPr="004A1A67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4D165F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截至2017年3月底，</w:t>
      </w:r>
      <w:r w:rsidR="00D97A36">
        <w:rPr>
          <w:rFonts w:ascii="仿宋" w:eastAsia="仿宋" w:hAnsi="仿宋" w:hint="eastAsia"/>
          <w:sz w:val="32"/>
          <w:szCs w:val="32"/>
        </w:rPr>
        <w:t>收到</w:t>
      </w:r>
      <w:r w:rsidR="0041494D">
        <w:rPr>
          <w:rFonts w:ascii="仿宋" w:eastAsia="仿宋" w:hAnsi="仿宋" w:hint="eastAsia"/>
          <w:sz w:val="32"/>
          <w:szCs w:val="32"/>
        </w:rPr>
        <w:t>的保本型结构性存款投资收益及</w:t>
      </w:r>
      <w:r w:rsidR="00D97A36">
        <w:rPr>
          <w:rFonts w:ascii="仿宋" w:eastAsia="仿宋" w:hAnsi="仿宋" w:hint="eastAsia"/>
          <w:sz w:val="32"/>
          <w:szCs w:val="32"/>
        </w:rPr>
        <w:t>按权益法核算</w:t>
      </w:r>
      <w:r w:rsidR="00FC3C75">
        <w:rPr>
          <w:rFonts w:ascii="仿宋" w:eastAsia="仿宋" w:hAnsi="仿宋" w:hint="eastAsia"/>
          <w:sz w:val="32"/>
          <w:szCs w:val="32"/>
        </w:rPr>
        <w:t>实现</w:t>
      </w:r>
      <w:r w:rsidR="00422E19">
        <w:rPr>
          <w:rFonts w:ascii="仿宋" w:eastAsia="仿宋" w:hAnsi="仿宋" w:hint="eastAsia"/>
          <w:sz w:val="32"/>
          <w:szCs w:val="32"/>
        </w:rPr>
        <w:t>的</w:t>
      </w:r>
      <w:r w:rsidR="00E0364D">
        <w:rPr>
          <w:rFonts w:ascii="仿宋" w:eastAsia="仿宋" w:hAnsi="仿宋" w:hint="eastAsia"/>
          <w:sz w:val="32"/>
          <w:szCs w:val="32"/>
        </w:rPr>
        <w:t>股权</w:t>
      </w:r>
      <w:r w:rsidR="00422E19">
        <w:rPr>
          <w:rFonts w:ascii="仿宋" w:eastAsia="仿宋" w:hAnsi="仿宋" w:hint="eastAsia"/>
          <w:sz w:val="32"/>
          <w:szCs w:val="32"/>
        </w:rPr>
        <w:t>投资</w:t>
      </w:r>
      <w:r w:rsidR="00E0364D">
        <w:rPr>
          <w:rFonts w:ascii="仿宋" w:eastAsia="仿宋" w:hAnsi="仿宋" w:hint="eastAsia"/>
          <w:sz w:val="32"/>
          <w:szCs w:val="32"/>
        </w:rPr>
        <w:t>账面</w:t>
      </w:r>
      <w:r w:rsidR="00FC3C75">
        <w:rPr>
          <w:rFonts w:ascii="仿宋" w:eastAsia="仿宋" w:hAnsi="仿宋" w:hint="eastAsia"/>
          <w:sz w:val="32"/>
          <w:szCs w:val="32"/>
        </w:rPr>
        <w:t>收益合计2,328.53万元</w:t>
      </w:r>
      <w:r w:rsidR="003B671A" w:rsidRPr="00660DCD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ED18C4" w:rsidRPr="00ED18C4" w:rsidRDefault="00ED18C4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0DCD">
        <w:rPr>
          <w:rFonts w:ascii="仿宋" w:eastAsia="仿宋" w:hAnsi="仿宋" w:hint="eastAsia"/>
          <w:sz w:val="32"/>
          <w:szCs w:val="32"/>
        </w:rPr>
        <w:t>支付</w:t>
      </w:r>
      <w:r w:rsidR="00D97A36">
        <w:rPr>
          <w:rFonts w:ascii="仿宋" w:eastAsia="仿宋" w:hAnsi="仿宋" w:hint="eastAsia"/>
          <w:sz w:val="32"/>
          <w:szCs w:val="32"/>
        </w:rPr>
        <w:t>2017年</w:t>
      </w:r>
      <w:r w:rsidR="0062557A">
        <w:rPr>
          <w:rFonts w:ascii="仿宋" w:eastAsia="仿宋" w:hAnsi="仿宋" w:hint="eastAsia"/>
          <w:sz w:val="32"/>
          <w:szCs w:val="32"/>
        </w:rPr>
        <w:t>1-3月</w:t>
      </w:r>
      <w:r w:rsidR="00D97A36">
        <w:rPr>
          <w:rFonts w:ascii="仿宋" w:eastAsia="仿宋" w:hAnsi="仿宋" w:hint="eastAsia"/>
          <w:sz w:val="32"/>
          <w:szCs w:val="32"/>
        </w:rPr>
        <w:t>国投创益产业基金管理有限公司</w:t>
      </w:r>
      <w:r w:rsidR="00D75E4C"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 w:rsidR="00566495">
        <w:rPr>
          <w:rFonts w:ascii="仿宋" w:eastAsia="仿宋" w:hAnsi="仿宋" w:hint="eastAsia"/>
          <w:sz w:val="32"/>
          <w:szCs w:val="32"/>
        </w:rPr>
        <w:t>2,774.15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62557A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截至2017年3月底支付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FC7EDF">
        <w:rPr>
          <w:rFonts w:ascii="仿宋" w:eastAsia="仿宋" w:hAnsi="仿宋" w:hint="eastAsia"/>
          <w:sz w:val="32"/>
          <w:szCs w:val="32"/>
        </w:rPr>
        <w:t>1.06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CD3C46" w:rsidRPr="00660DCD">
        <w:rPr>
          <w:rFonts w:ascii="仿宋" w:eastAsia="仿宋" w:hAnsi="仿宋"/>
          <w:sz w:val="32"/>
          <w:szCs w:val="32"/>
        </w:rPr>
        <w:t xml:space="preserve"> </w:t>
      </w:r>
      <w:r w:rsidR="00427610">
        <w:rPr>
          <w:rFonts w:ascii="仿宋" w:eastAsia="仿宋" w:hAnsi="仿宋" w:hint="eastAsia"/>
          <w:sz w:val="32"/>
          <w:szCs w:val="32"/>
        </w:rPr>
        <w:t>主要为支付的</w:t>
      </w:r>
      <w:r w:rsidR="00AB6B6A">
        <w:rPr>
          <w:rFonts w:ascii="仿宋" w:eastAsia="仿宋" w:hAnsi="仿宋" w:hint="eastAsia"/>
          <w:sz w:val="32"/>
          <w:szCs w:val="32"/>
        </w:rPr>
        <w:t>董事会费</w:t>
      </w:r>
      <w:r w:rsidR="00427610">
        <w:rPr>
          <w:rFonts w:ascii="仿宋" w:eastAsia="仿宋" w:hAnsi="仿宋" w:hint="eastAsia"/>
          <w:sz w:val="32"/>
          <w:szCs w:val="32"/>
        </w:rPr>
        <w:t>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757C7" w:rsidRPr="002F2C47" w:rsidRDefault="00EC684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242884">
        <w:rPr>
          <w:rFonts w:ascii="仿宋" w:eastAsia="仿宋" w:hAnsi="仿宋" w:hint="eastAsia"/>
          <w:sz w:val="32"/>
          <w:szCs w:val="32"/>
        </w:rPr>
        <w:t>支付的</w:t>
      </w:r>
      <w:r w:rsidR="00D0449E">
        <w:rPr>
          <w:rFonts w:ascii="仿宋" w:eastAsia="仿宋" w:hAnsi="仿宋" w:hint="eastAsia"/>
          <w:sz w:val="32"/>
          <w:szCs w:val="32"/>
        </w:rPr>
        <w:t>农业银行</w:t>
      </w:r>
      <w:proofErr w:type="gramStart"/>
      <w:r w:rsidR="00D0449E">
        <w:rPr>
          <w:rFonts w:ascii="仿宋" w:eastAsia="仿宋" w:hAnsi="仿宋" w:hint="eastAsia"/>
          <w:sz w:val="32"/>
          <w:szCs w:val="32"/>
        </w:rPr>
        <w:t>询证函费用</w:t>
      </w:r>
      <w:proofErr w:type="gramEnd"/>
      <w:r w:rsidR="00884F28">
        <w:rPr>
          <w:rFonts w:ascii="仿宋" w:eastAsia="仿宋" w:hAnsi="仿宋" w:hint="eastAsia"/>
          <w:sz w:val="32"/>
          <w:szCs w:val="32"/>
        </w:rPr>
        <w:t>0.02万元</w:t>
      </w:r>
      <w:r w:rsidR="003F26A5">
        <w:rPr>
          <w:rFonts w:ascii="仿宋" w:eastAsia="仿宋" w:hAnsi="仿宋" w:hint="eastAsia"/>
          <w:sz w:val="32"/>
          <w:szCs w:val="32"/>
        </w:rPr>
        <w:t>及</w:t>
      </w:r>
      <w:r w:rsidR="00D97A36">
        <w:rPr>
          <w:rFonts w:ascii="仿宋" w:eastAsia="仿宋" w:hAnsi="仿宋" w:hint="eastAsia"/>
          <w:sz w:val="32"/>
          <w:szCs w:val="32"/>
        </w:rPr>
        <w:t>已收</w:t>
      </w:r>
      <w:r w:rsidR="00D757C7" w:rsidRPr="002F2C47">
        <w:rPr>
          <w:rFonts w:ascii="仿宋" w:eastAsia="仿宋" w:hAnsi="仿宋" w:hint="eastAsia"/>
          <w:sz w:val="32"/>
          <w:szCs w:val="32"/>
        </w:rPr>
        <w:t>兴业银行</w:t>
      </w:r>
      <w:r w:rsidR="00D757C7">
        <w:rPr>
          <w:rFonts w:ascii="仿宋" w:eastAsia="仿宋" w:hAnsi="仿宋" w:hint="eastAsia"/>
          <w:sz w:val="32"/>
          <w:szCs w:val="32"/>
        </w:rPr>
        <w:t>基本存款账户支付的</w:t>
      </w:r>
      <w:r w:rsidR="00D757C7"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F76334">
        <w:rPr>
          <w:rFonts w:ascii="仿宋" w:eastAsia="仿宋" w:hAnsi="仿宋" w:hint="eastAsia"/>
          <w:sz w:val="32"/>
          <w:szCs w:val="32"/>
        </w:rPr>
        <w:t>790.1</w:t>
      </w:r>
      <w:r w:rsidR="00884F28">
        <w:rPr>
          <w:rFonts w:ascii="仿宋" w:eastAsia="仿宋" w:hAnsi="仿宋" w:hint="eastAsia"/>
          <w:sz w:val="32"/>
          <w:szCs w:val="32"/>
        </w:rPr>
        <w:t>3</w:t>
      </w:r>
      <w:r w:rsidR="00F76334">
        <w:rPr>
          <w:rFonts w:ascii="仿宋" w:eastAsia="仿宋" w:hAnsi="仿宋" w:hint="eastAsia"/>
          <w:sz w:val="32"/>
          <w:szCs w:val="32"/>
        </w:rPr>
        <w:t>万元</w:t>
      </w:r>
      <w:r w:rsidR="00D757C7" w:rsidRPr="002F2C47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616CD3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截至2017年3月底，</w:t>
      </w:r>
      <w:r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171199">
        <w:rPr>
          <w:rFonts w:ascii="仿宋" w:eastAsia="仿宋" w:hAnsi="仿宋" w:hint="eastAsia"/>
          <w:sz w:val="32"/>
          <w:szCs w:val="32"/>
        </w:rPr>
        <w:t>343.44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A74465" w:rsidRDefault="00B77DE7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由于公司2016</w:t>
      </w:r>
      <w:r w:rsidR="00FB7496">
        <w:rPr>
          <w:rFonts w:ascii="仿宋" w:eastAsia="仿宋" w:hAnsi="仿宋" w:hint="eastAsia"/>
          <w:sz w:val="32"/>
          <w:szCs w:val="32"/>
        </w:rPr>
        <w:t>年</w:t>
      </w:r>
      <w:r w:rsidR="00D97A36">
        <w:rPr>
          <w:rFonts w:ascii="仿宋" w:eastAsia="仿宋" w:hAnsi="仿宋" w:hint="eastAsia"/>
          <w:sz w:val="32"/>
          <w:szCs w:val="32"/>
        </w:rPr>
        <w:t>确认的</w:t>
      </w:r>
      <w:r w:rsidR="00FB7496">
        <w:rPr>
          <w:rFonts w:ascii="仿宋" w:eastAsia="仿宋" w:hAnsi="仿宋" w:hint="eastAsia"/>
          <w:sz w:val="32"/>
          <w:szCs w:val="32"/>
        </w:rPr>
        <w:t>净利润为-</w:t>
      </w:r>
      <w:r w:rsidR="00A27BEA">
        <w:rPr>
          <w:rFonts w:ascii="仿宋" w:eastAsia="仿宋" w:hAnsi="仿宋" w:hint="eastAsia"/>
          <w:sz w:val="32"/>
          <w:szCs w:val="32"/>
        </w:rPr>
        <w:t>1,639.70万元</w:t>
      </w:r>
      <w:r w:rsidR="009611CE">
        <w:rPr>
          <w:rFonts w:ascii="仿宋" w:eastAsia="仿宋" w:hAnsi="仿宋" w:hint="eastAsia"/>
          <w:sz w:val="32"/>
          <w:szCs w:val="32"/>
        </w:rPr>
        <w:t>，</w:t>
      </w:r>
      <w:r w:rsidR="00D97A36">
        <w:rPr>
          <w:rFonts w:ascii="仿宋" w:eastAsia="仿宋" w:hAnsi="仿宋" w:hint="eastAsia"/>
          <w:sz w:val="32"/>
          <w:szCs w:val="32"/>
        </w:rPr>
        <w:t>按税法规定，</w:t>
      </w:r>
      <w:r w:rsidR="001D1654">
        <w:rPr>
          <w:rFonts w:ascii="仿宋" w:eastAsia="仿宋" w:hAnsi="仿宋" w:hint="eastAsia"/>
          <w:sz w:val="32"/>
          <w:szCs w:val="32"/>
        </w:rPr>
        <w:t>1-3月</w:t>
      </w:r>
      <w:r w:rsidR="00D97A36">
        <w:rPr>
          <w:rFonts w:ascii="仿宋" w:eastAsia="仿宋" w:hAnsi="仿宋" w:hint="eastAsia"/>
          <w:sz w:val="32"/>
          <w:szCs w:val="32"/>
        </w:rPr>
        <w:t>实现利润</w:t>
      </w:r>
      <w:r w:rsidR="00F24B8B">
        <w:rPr>
          <w:rFonts w:ascii="仿宋" w:eastAsia="仿宋" w:hAnsi="仿宋" w:hint="eastAsia"/>
          <w:sz w:val="32"/>
          <w:szCs w:val="32"/>
        </w:rPr>
        <w:t>在缴纳企业所得税时可</w:t>
      </w:r>
      <w:r w:rsidR="00D97A36">
        <w:rPr>
          <w:rFonts w:ascii="仿宋" w:eastAsia="仿宋" w:hAnsi="仿宋" w:hint="eastAsia"/>
          <w:sz w:val="32"/>
          <w:szCs w:val="32"/>
        </w:rPr>
        <w:t>先用于</w:t>
      </w:r>
      <w:r w:rsidR="00F24B8B">
        <w:rPr>
          <w:rFonts w:ascii="仿宋" w:eastAsia="仿宋" w:hAnsi="仿宋" w:hint="eastAsia"/>
          <w:sz w:val="32"/>
          <w:szCs w:val="32"/>
        </w:rPr>
        <w:t>弥补该亏损，</w:t>
      </w:r>
      <w:r w:rsidR="00D97A36">
        <w:rPr>
          <w:rFonts w:ascii="仿宋" w:eastAsia="仿宋" w:hAnsi="仿宋" w:hint="eastAsia"/>
          <w:sz w:val="32"/>
          <w:szCs w:val="32"/>
        </w:rPr>
        <w:t>两者相抵不足以弥补亏损，</w:t>
      </w:r>
      <w:r w:rsidR="00F24B8B">
        <w:rPr>
          <w:rFonts w:ascii="仿宋" w:eastAsia="仿宋" w:hAnsi="仿宋" w:hint="eastAsia"/>
          <w:sz w:val="32"/>
          <w:szCs w:val="32"/>
        </w:rPr>
        <w:t>故</w:t>
      </w:r>
      <w:r w:rsidR="00BB5F21">
        <w:rPr>
          <w:rFonts w:ascii="仿宋" w:eastAsia="仿宋" w:hAnsi="仿宋" w:hint="eastAsia"/>
          <w:sz w:val="32"/>
          <w:szCs w:val="32"/>
        </w:rPr>
        <w:t>2017年</w:t>
      </w:r>
      <w:r w:rsidR="001D1654">
        <w:rPr>
          <w:rFonts w:ascii="仿宋" w:eastAsia="仿宋" w:hAnsi="仿宋" w:hint="eastAsia"/>
          <w:sz w:val="32"/>
          <w:szCs w:val="32"/>
        </w:rPr>
        <w:t>1-3月</w:t>
      </w:r>
      <w:r w:rsidR="00F24B8B">
        <w:rPr>
          <w:rFonts w:ascii="仿宋" w:eastAsia="仿宋" w:hAnsi="仿宋" w:hint="eastAsia"/>
          <w:sz w:val="32"/>
          <w:szCs w:val="32"/>
        </w:rPr>
        <w:t>公司未缴纳企业所得税，</w:t>
      </w:r>
      <w:r w:rsidR="00A74465" w:rsidRPr="004A1A67">
        <w:rPr>
          <w:rFonts w:ascii="仿宋" w:eastAsia="仿宋" w:hAnsi="仿宋"/>
          <w:sz w:val="32"/>
          <w:szCs w:val="32"/>
        </w:rPr>
        <w:t>累计实现</w:t>
      </w:r>
      <w:r w:rsidR="00A74465">
        <w:rPr>
          <w:rFonts w:ascii="仿宋" w:eastAsia="仿宋" w:hAnsi="仿宋" w:hint="eastAsia"/>
          <w:sz w:val="32"/>
          <w:szCs w:val="32"/>
        </w:rPr>
        <w:t>净利润</w:t>
      </w:r>
      <w:r w:rsidR="00171199">
        <w:rPr>
          <w:rFonts w:ascii="仿宋" w:eastAsia="仿宋" w:hAnsi="仿宋" w:hint="eastAsia"/>
          <w:sz w:val="32"/>
          <w:szCs w:val="32"/>
        </w:rPr>
        <w:t>343.44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1F1009" w:rsidRPr="00D95021" w:rsidRDefault="001F1009" w:rsidP="001F1009">
      <w:pPr>
        <w:spacing w:line="360" w:lineRule="auto"/>
        <w:ind w:right="640"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</w:p>
    <w:sectPr w:rsidR="001F1009" w:rsidRPr="00D95021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77" w:rsidRDefault="00472C77" w:rsidP="009B4A93">
      <w:r>
        <w:separator/>
      </w:r>
    </w:p>
  </w:endnote>
  <w:endnote w:type="continuationSeparator" w:id="0">
    <w:p w:rsidR="00472C77" w:rsidRDefault="00472C77" w:rsidP="009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74"/>
      <w:docPartObj>
        <w:docPartGallery w:val="Page Numbers (Bottom of Page)"/>
        <w:docPartUnique/>
      </w:docPartObj>
    </w:sdtPr>
    <w:sdtContent>
      <w:p w:rsidR="001E788F" w:rsidRDefault="00920D02">
        <w:pPr>
          <w:pStyle w:val="a3"/>
          <w:jc w:val="center"/>
        </w:pPr>
        <w:fldSimple w:instr=" PAGE   \* MERGEFORMAT ">
          <w:r w:rsidR="00F43DCE" w:rsidRPr="00F43DCE">
            <w:rPr>
              <w:noProof/>
              <w:lang w:val="zh-CN"/>
            </w:rPr>
            <w:t>1</w:t>
          </w:r>
        </w:fldSimple>
      </w:p>
    </w:sdtContent>
  </w:sdt>
  <w:p w:rsidR="001E788F" w:rsidRDefault="001E78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77" w:rsidRDefault="00472C77" w:rsidP="009B4A93">
      <w:r>
        <w:separator/>
      </w:r>
    </w:p>
  </w:footnote>
  <w:footnote w:type="continuationSeparator" w:id="0">
    <w:p w:rsidR="00472C77" w:rsidRDefault="00472C77" w:rsidP="009B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E8"/>
    <w:rsid w:val="00000862"/>
    <w:rsid w:val="000150D4"/>
    <w:rsid w:val="0002011C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7786"/>
    <w:rsid w:val="000923E7"/>
    <w:rsid w:val="00096045"/>
    <w:rsid w:val="000A1C15"/>
    <w:rsid w:val="000A5107"/>
    <w:rsid w:val="000A77AB"/>
    <w:rsid w:val="000B3784"/>
    <w:rsid w:val="000B3C19"/>
    <w:rsid w:val="000C0160"/>
    <w:rsid w:val="000C324D"/>
    <w:rsid w:val="000C3DE5"/>
    <w:rsid w:val="000C4A52"/>
    <w:rsid w:val="000D151E"/>
    <w:rsid w:val="000D3154"/>
    <w:rsid w:val="000E2CDB"/>
    <w:rsid w:val="000E2D87"/>
    <w:rsid w:val="000F5A4D"/>
    <w:rsid w:val="000F6D92"/>
    <w:rsid w:val="001043B9"/>
    <w:rsid w:val="001237B6"/>
    <w:rsid w:val="00130C95"/>
    <w:rsid w:val="0013388C"/>
    <w:rsid w:val="0013677B"/>
    <w:rsid w:val="00144877"/>
    <w:rsid w:val="00145234"/>
    <w:rsid w:val="0015366F"/>
    <w:rsid w:val="0015489E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90F27"/>
    <w:rsid w:val="00191394"/>
    <w:rsid w:val="001940F1"/>
    <w:rsid w:val="001A775C"/>
    <w:rsid w:val="001A7DAC"/>
    <w:rsid w:val="001C30E6"/>
    <w:rsid w:val="001C6135"/>
    <w:rsid w:val="001D0185"/>
    <w:rsid w:val="001D0EAE"/>
    <w:rsid w:val="001D1654"/>
    <w:rsid w:val="001D368E"/>
    <w:rsid w:val="001E14AC"/>
    <w:rsid w:val="001E5613"/>
    <w:rsid w:val="001E788F"/>
    <w:rsid w:val="001F1009"/>
    <w:rsid w:val="00213B84"/>
    <w:rsid w:val="0022029E"/>
    <w:rsid w:val="00223045"/>
    <w:rsid w:val="00223153"/>
    <w:rsid w:val="00224E28"/>
    <w:rsid w:val="00225002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A031C"/>
    <w:rsid w:val="002A242E"/>
    <w:rsid w:val="002A2F71"/>
    <w:rsid w:val="002A310D"/>
    <w:rsid w:val="002A6664"/>
    <w:rsid w:val="002B2FF2"/>
    <w:rsid w:val="002B3222"/>
    <w:rsid w:val="002C4DAF"/>
    <w:rsid w:val="002C7787"/>
    <w:rsid w:val="002D6741"/>
    <w:rsid w:val="002E3888"/>
    <w:rsid w:val="002E6789"/>
    <w:rsid w:val="002E7463"/>
    <w:rsid w:val="002F0276"/>
    <w:rsid w:val="002F1539"/>
    <w:rsid w:val="002F2C47"/>
    <w:rsid w:val="002F7505"/>
    <w:rsid w:val="0030387C"/>
    <w:rsid w:val="003071E5"/>
    <w:rsid w:val="003134B3"/>
    <w:rsid w:val="003153DF"/>
    <w:rsid w:val="00321011"/>
    <w:rsid w:val="00322210"/>
    <w:rsid w:val="00325B7F"/>
    <w:rsid w:val="003343BE"/>
    <w:rsid w:val="00342B7D"/>
    <w:rsid w:val="00352169"/>
    <w:rsid w:val="003540E2"/>
    <w:rsid w:val="003576BC"/>
    <w:rsid w:val="00362B36"/>
    <w:rsid w:val="003806C7"/>
    <w:rsid w:val="00381F17"/>
    <w:rsid w:val="00394209"/>
    <w:rsid w:val="00395946"/>
    <w:rsid w:val="00396E4C"/>
    <w:rsid w:val="003A5993"/>
    <w:rsid w:val="003A6109"/>
    <w:rsid w:val="003B0196"/>
    <w:rsid w:val="003B671A"/>
    <w:rsid w:val="003C130D"/>
    <w:rsid w:val="003C27ED"/>
    <w:rsid w:val="003C3F77"/>
    <w:rsid w:val="003C6142"/>
    <w:rsid w:val="003C682F"/>
    <w:rsid w:val="003D2CE9"/>
    <w:rsid w:val="003D4CBD"/>
    <w:rsid w:val="003D4E6E"/>
    <w:rsid w:val="003D5AA4"/>
    <w:rsid w:val="003E14C9"/>
    <w:rsid w:val="003E7ABC"/>
    <w:rsid w:val="003F0131"/>
    <w:rsid w:val="003F26A5"/>
    <w:rsid w:val="003F57C5"/>
    <w:rsid w:val="003F7A74"/>
    <w:rsid w:val="00400249"/>
    <w:rsid w:val="0041494D"/>
    <w:rsid w:val="004162D2"/>
    <w:rsid w:val="004172B6"/>
    <w:rsid w:val="00420E92"/>
    <w:rsid w:val="00422E19"/>
    <w:rsid w:val="00425C99"/>
    <w:rsid w:val="00427610"/>
    <w:rsid w:val="004306B7"/>
    <w:rsid w:val="00432E5D"/>
    <w:rsid w:val="004536A9"/>
    <w:rsid w:val="00461DE4"/>
    <w:rsid w:val="00464A16"/>
    <w:rsid w:val="004704BF"/>
    <w:rsid w:val="00472C77"/>
    <w:rsid w:val="00486007"/>
    <w:rsid w:val="00491E17"/>
    <w:rsid w:val="0049536C"/>
    <w:rsid w:val="004A1848"/>
    <w:rsid w:val="004A1D48"/>
    <w:rsid w:val="004B24C3"/>
    <w:rsid w:val="004B3C06"/>
    <w:rsid w:val="004C0B82"/>
    <w:rsid w:val="004C3E0A"/>
    <w:rsid w:val="004C664C"/>
    <w:rsid w:val="004D146F"/>
    <w:rsid w:val="004D165F"/>
    <w:rsid w:val="004D2687"/>
    <w:rsid w:val="004E5489"/>
    <w:rsid w:val="004F1C94"/>
    <w:rsid w:val="004F4B43"/>
    <w:rsid w:val="004F7B0D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B23"/>
    <w:rsid w:val="0055078C"/>
    <w:rsid w:val="00566495"/>
    <w:rsid w:val="00567D26"/>
    <w:rsid w:val="00581C56"/>
    <w:rsid w:val="00582611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6039B5"/>
    <w:rsid w:val="00605946"/>
    <w:rsid w:val="00610081"/>
    <w:rsid w:val="006123A5"/>
    <w:rsid w:val="00616CD3"/>
    <w:rsid w:val="006206EF"/>
    <w:rsid w:val="0062557A"/>
    <w:rsid w:val="0062606C"/>
    <w:rsid w:val="00635832"/>
    <w:rsid w:val="00653AE5"/>
    <w:rsid w:val="006544CF"/>
    <w:rsid w:val="00660DCD"/>
    <w:rsid w:val="00667FF0"/>
    <w:rsid w:val="00671741"/>
    <w:rsid w:val="00681675"/>
    <w:rsid w:val="006A4CAB"/>
    <w:rsid w:val="006A4FF1"/>
    <w:rsid w:val="006B4AC8"/>
    <w:rsid w:val="006C2835"/>
    <w:rsid w:val="006C3C22"/>
    <w:rsid w:val="006C44E2"/>
    <w:rsid w:val="006D386B"/>
    <w:rsid w:val="006E1E35"/>
    <w:rsid w:val="006E2450"/>
    <w:rsid w:val="006E389B"/>
    <w:rsid w:val="006E7709"/>
    <w:rsid w:val="006E7EF9"/>
    <w:rsid w:val="00710C65"/>
    <w:rsid w:val="007122A5"/>
    <w:rsid w:val="00714D97"/>
    <w:rsid w:val="00722047"/>
    <w:rsid w:val="00723974"/>
    <w:rsid w:val="0073258F"/>
    <w:rsid w:val="00732F90"/>
    <w:rsid w:val="0074008D"/>
    <w:rsid w:val="007434AF"/>
    <w:rsid w:val="00756ACE"/>
    <w:rsid w:val="0076597F"/>
    <w:rsid w:val="00767DA7"/>
    <w:rsid w:val="00777965"/>
    <w:rsid w:val="00777DEA"/>
    <w:rsid w:val="00780935"/>
    <w:rsid w:val="00794401"/>
    <w:rsid w:val="007A1F65"/>
    <w:rsid w:val="007A3D13"/>
    <w:rsid w:val="007A48A8"/>
    <w:rsid w:val="007A5CE2"/>
    <w:rsid w:val="007B06A8"/>
    <w:rsid w:val="007B5ED6"/>
    <w:rsid w:val="007D6937"/>
    <w:rsid w:val="007D78FF"/>
    <w:rsid w:val="007D7B22"/>
    <w:rsid w:val="007E10B1"/>
    <w:rsid w:val="007E2E78"/>
    <w:rsid w:val="007E3435"/>
    <w:rsid w:val="007F0056"/>
    <w:rsid w:val="007F36FA"/>
    <w:rsid w:val="007F45AB"/>
    <w:rsid w:val="007F77CF"/>
    <w:rsid w:val="00800F4C"/>
    <w:rsid w:val="0080124B"/>
    <w:rsid w:val="00802F13"/>
    <w:rsid w:val="00803EA2"/>
    <w:rsid w:val="008156E8"/>
    <w:rsid w:val="0081737E"/>
    <w:rsid w:val="00817E06"/>
    <w:rsid w:val="008256C4"/>
    <w:rsid w:val="00831644"/>
    <w:rsid w:val="00833A2F"/>
    <w:rsid w:val="00845626"/>
    <w:rsid w:val="00845A59"/>
    <w:rsid w:val="00851205"/>
    <w:rsid w:val="0085120B"/>
    <w:rsid w:val="0085515C"/>
    <w:rsid w:val="00863D90"/>
    <w:rsid w:val="00882D5E"/>
    <w:rsid w:val="00884F28"/>
    <w:rsid w:val="0088739A"/>
    <w:rsid w:val="00891BFF"/>
    <w:rsid w:val="00892940"/>
    <w:rsid w:val="008A6A13"/>
    <w:rsid w:val="008B087B"/>
    <w:rsid w:val="008C0576"/>
    <w:rsid w:val="008C1030"/>
    <w:rsid w:val="008C1735"/>
    <w:rsid w:val="008D25F9"/>
    <w:rsid w:val="008D2EEB"/>
    <w:rsid w:val="008E25EB"/>
    <w:rsid w:val="008E4149"/>
    <w:rsid w:val="008E5B91"/>
    <w:rsid w:val="008F56C7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5C9C"/>
    <w:rsid w:val="009779F9"/>
    <w:rsid w:val="009818C4"/>
    <w:rsid w:val="009831DC"/>
    <w:rsid w:val="00985934"/>
    <w:rsid w:val="00990A35"/>
    <w:rsid w:val="0099257F"/>
    <w:rsid w:val="0099462F"/>
    <w:rsid w:val="009B4A93"/>
    <w:rsid w:val="009B6710"/>
    <w:rsid w:val="009C4511"/>
    <w:rsid w:val="009C5AC2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2AE9"/>
    <w:rsid w:val="009F3CCC"/>
    <w:rsid w:val="00A10429"/>
    <w:rsid w:val="00A11634"/>
    <w:rsid w:val="00A27BEA"/>
    <w:rsid w:val="00A313A6"/>
    <w:rsid w:val="00A33C8A"/>
    <w:rsid w:val="00A37C6F"/>
    <w:rsid w:val="00A463A6"/>
    <w:rsid w:val="00A47A57"/>
    <w:rsid w:val="00A51490"/>
    <w:rsid w:val="00A514EF"/>
    <w:rsid w:val="00A54DF5"/>
    <w:rsid w:val="00A56760"/>
    <w:rsid w:val="00A67CA3"/>
    <w:rsid w:val="00A72BAD"/>
    <w:rsid w:val="00A72FDF"/>
    <w:rsid w:val="00A73013"/>
    <w:rsid w:val="00A74465"/>
    <w:rsid w:val="00A92330"/>
    <w:rsid w:val="00A93516"/>
    <w:rsid w:val="00A94919"/>
    <w:rsid w:val="00A97FB2"/>
    <w:rsid w:val="00AA1D3C"/>
    <w:rsid w:val="00AB5CD1"/>
    <w:rsid w:val="00AB6B6A"/>
    <w:rsid w:val="00AB6D38"/>
    <w:rsid w:val="00AC5B6D"/>
    <w:rsid w:val="00AD0CEF"/>
    <w:rsid w:val="00AD6C1D"/>
    <w:rsid w:val="00AD6E58"/>
    <w:rsid w:val="00AD7429"/>
    <w:rsid w:val="00AF0977"/>
    <w:rsid w:val="00AF1CBC"/>
    <w:rsid w:val="00AF1D87"/>
    <w:rsid w:val="00B02FBA"/>
    <w:rsid w:val="00B071CC"/>
    <w:rsid w:val="00B07C3B"/>
    <w:rsid w:val="00B1166B"/>
    <w:rsid w:val="00B12B48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6B31"/>
    <w:rsid w:val="00B701C0"/>
    <w:rsid w:val="00B70596"/>
    <w:rsid w:val="00B7388D"/>
    <w:rsid w:val="00B74718"/>
    <w:rsid w:val="00B77DE7"/>
    <w:rsid w:val="00B96CD7"/>
    <w:rsid w:val="00BA19A5"/>
    <w:rsid w:val="00BA42FF"/>
    <w:rsid w:val="00BA75F6"/>
    <w:rsid w:val="00BB27D7"/>
    <w:rsid w:val="00BB43FD"/>
    <w:rsid w:val="00BB4E99"/>
    <w:rsid w:val="00BB5531"/>
    <w:rsid w:val="00BB5F21"/>
    <w:rsid w:val="00BC0601"/>
    <w:rsid w:val="00BC5F0F"/>
    <w:rsid w:val="00BD56EC"/>
    <w:rsid w:val="00BD5ACF"/>
    <w:rsid w:val="00BD7AF4"/>
    <w:rsid w:val="00BF097E"/>
    <w:rsid w:val="00BF281B"/>
    <w:rsid w:val="00BF534B"/>
    <w:rsid w:val="00BF62B0"/>
    <w:rsid w:val="00C0255A"/>
    <w:rsid w:val="00C04448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6948"/>
    <w:rsid w:val="00C7304F"/>
    <w:rsid w:val="00C87FBD"/>
    <w:rsid w:val="00C92805"/>
    <w:rsid w:val="00CA430D"/>
    <w:rsid w:val="00CA4568"/>
    <w:rsid w:val="00CA5FC2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B05"/>
    <w:rsid w:val="00CD7BE4"/>
    <w:rsid w:val="00CE0955"/>
    <w:rsid w:val="00CE68E4"/>
    <w:rsid w:val="00CF0749"/>
    <w:rsid w:val="00CF1A41"/>
    <w:rsid w:val="00D03794"/>
    <w:rsid w:val="00D0449E"/>
    <w:rsid w:val="00D04997"/>
    <w:rsid w:val="00D13804"/>
    <w:rsid w:val="00D15555"/>
    <w:rsid w:val="00D21EFA"/>
    <w:rsid w:val="00D30DBA"/>
    <w:rsid w:val="00D32A75"/>
    <w:rsid w:val="00D36FDD"/>
    <w:rsid w:val="00D44426"/>
    <w:rsid w:val="00D44F03"/>
    <w:rsid w:val="00D45A8C"/>
    <w:rsid w:val="00D46620"/>
    <w:rsid w:val="00D46E20"/>
    <w:rsid w:val="00D52046"/>
    <w:rsid w:val="00D52B8A"/>
    <w:rsid w:val="00D56C34"/>
    <w:rsid w:val="00D61FC5"/>
    <w:rsid w:val="00D647D6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62ED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E55E3"/>
    <w:rsid w:val="00DE56E7"/>
    <w:rsid w:val="00DE6938"/>
    <w:rsid w:val="00DF0158"/>
    <w:rsid w:val="00DF3D5C"/>
    <w:rsid w:val="00DF3D8A"/>
    <w:rsid w:val="00DF4F62"/>
    <w:rsid w:val="00E01B09"/>
    <w:rsid w:val="00E01D4B"/>
    <w:rsid w:val="00E0364D"/>
    <w:rsid w:val="00E076EE"/>
    <w:rsid w:val="00E119A2"/>
    <w:rsid w:val="00E266D9"/>
    <w:rsid w:val="00E26AC8"/>
    <w:rsid w:val="00E31C91"/>
    <w:rsid w:val="00E32725"/>
    <w:rsid w:val="00E33EC0"/>
    <w:rsid w:val="00E357BD"/>
    <w:rsid w:val="00E40754"/>
    <w:rsid w:val="00E444B6"/>
    <w:rsid w:val="00E51765"/>
    <w:rsid w:val="00E52073"/>
    <w:rsid w:val="00E521B3"/>
    <w:rsid w:val="00E56AC8"/>
    <w:rsid w:val="00E6076B"/>
    <w:rsid w:val="00E66789"/>
    <w:rsid w:val="00E706FD"/>
    <w:rsid w:val="00E74162"/>
    <w:rsid w:val="00E76B56"/>
    <w:rsid w:val="00E94DF6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4070"/>
    <w:rsid w:val="00EE7FD3"/>
    <w:rsid w:val="00EF513B"/>
    <w:rsid w:val="00EF7085"/>
    <w:rsid w:val="00EF795F"/>
    <w:rsid w:val="00F06999"/>
    <w:rsid w:val="00F11094"/>
    <w:rsid w:val="00F1484E"/>
    <w:rsid w:val="00F17718"/>
    <w:rsid w:val="00F17989"/>
    <w:rsid w:val="00F24B8B"/>
    <w:rsid w:val="00F34F95"/>
    <w:rsid w:val="00F358F5"/>
    <w:rsid w:val="00F43DCE"/>
    <w:rsid w:val="00F453CE"/>
    <w:rsid w:val="00F5287F"/>
    <w:rsid w:val="00F605C9"/>
    <w:rsid w:val="00F662DE"/>
    <w:rsid w:val="00F72FB3"/>
    <w:rsid w:val="00F76334"/>
    <w:rsid w:val="00F84C68"/>
    <w:rsid w:val="00F93BAD"/>
    <w:rsid w:val="00FA5DBE"/>
    <w:rsid w:val="00FB3657"/>
    <w:rsid w:val="00FB4E85"/>
    <w:rsid w:val="00FB6E26"/>
    <w:rsid w:val="00FB7496"/>
    <w:rsid w:val="00FC3C75"/>
    <w:rsid w:val="00FC7AC9"/>
    <w:rsid w:val="00FC7EDF"/>
    <w:rsid w:val="00FD52E4"/>
    <w:rsid w:val="00FE2270"/>
    <w:rsid w:val="00FE34F9"/>
    <w:rsid w:val="00FE380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220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2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1A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1A41"/>
    <w:rPr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7">
    <w:name w:val="Table Grid"/>
    <w:basedOn w:val="a1"/>
    <w:uiPriority w:val="59"/>
    <w:rsid w:val="0061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AE313-DD1E-431E-8EA9-EC68C837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邹硕</cp:lastModifiedBy>
  <cp:revision>1352</cp:revision>
  <cp:lastPrinted>2017-04-21T00:48:00Z</cp:lastPrinted>
  <dcterms:created xsi:type="dcterms:W3CDTF">2016-12-09T09:37:00Z</dcterms:created>
  <dcterms:modified xsi:type="dcterms:W3CDTF">2017-05-02T03:06:00Z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